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84" w:rsidRPr="00415E84" w:rsidRDefault="00415E84" w:rsidP="00415E84">
      <w:pPr>
        <w:shd w:val="clear" w:color="auto" w:fill="E9E9E9"/>
        <w:bidi w:val="0"/>
        <w:spacing w:after="0" w:line="420" w:lineRule="atLeast"/>
        <w:jc w:val="center"/>
        <w:rPr>
          <w:rFonts w:ascii="Tahoma" w:eastAsia="Times New Roman" w:hAnsi="Tahoma" w:cs="Tahoma"/>
          <w:color w:val="555555"/>
          <w:sz w:val="20"/>
          <w:szCs w:val="20"/>
        </w:rPr>
      </w:pPr>
      <w:bookmarkStart w:id="0" w:name="_GoBack"/>
      <w:bookmarkEnd w:id="0"/>
      <w:r w:rsidRPr="00415E84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rtl/>
        </w:rPr>
        <w:t>وصف البرنامج الأكاديمي</w:t>
      </w:r>
    </w:p>
    <w:p w:rsidR="00415E84" w:rsidRPr="00415E84" w:rsidRDefault="00415E84" w:rsidP="00415E84">
      <w:pPr>
        <w:shd w:val="clear" w:color="auto" w:fill="E9E9E9"/>
        <w:spacing w:after="0" w:line="420" w:lineRule="atLeast"/>
        <w:jc w:val="center"/>
        <w:rPr>
          <w:rFonts w:ascii="Tahoma" w:eastAsia="Times New Roman" w:hAnsi="Tahoma" w:cs="Tahoma"/>
          <w:color w:val="555555"/>
          <w:sz w:val="20"/>
          <w:szCs w:val="20"/>
        </w:rPr>
      </w:pPr>
      <w:r w:rsidRPr="00415E84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</w:rPr>
        <w:t>Academic Program Specification</w:t>
      </w:r>
    </w:p>
    <w:tbl>
      <w:tblPr>
        <w:tblpPr w:leftFromText="45" w:rightFromText="45" w:vertAnchor="text" w:horzAnchor="margin" w:tblpXSpec="center" w:tblpY="-103"/>
        <w:bidiVisual/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6315"/>
      </w:tblGrid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1.    اسم البرنامج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Programme Title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بكالوريوس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2.    رمز البرنامج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Programme Code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3.    المؤسسة التعليمية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Teaching Institution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4.    الكلية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College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 xml:space="preserve">التربية </w:t>
            </w:r>
            <w:r w:rsidR="000B6D3E">
              <w:rPr>
                <w:rFonts w:ascii="Times New Roman" w:eastAsia="Times New Roman" w:hAnsi="Times New Roman" w:cs="Times New Roman" w:hint="cs"/>
                <w:sz w:val="20"/>
                <w:szCs w:val="20"/>
                <w:bdr w:val="none" w:sz="0" w:space="0" w:color="auto" w:frame="1"/>
                <w:rtl/>
              </w:rPr>
              <w:t>للعلوم الصرفة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5.    القسم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Department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الرياضيات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6.    النظام الدراسي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Attendance Type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سنوي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7.    الفصل الدراسي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Academic Session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8.  عدد وحدات البرنامج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Credits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9.  الشهادة الممنوحة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Final Award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بكالوريوس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10.        الجهة المعتمدة للبرنامج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Programme Accredited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11.        اسم منسق البرنامج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Programme Coordinator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</w:tr>
      <w:tr w:rsidR="00415E84" w:rsidRPr="00415E84" w:rsidTr="000B6D3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12.        تاريخ اعداد البرنامج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Date of Programme</w:t>
            </w: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13.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     </w:t>
            </w: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>  أهداف البرنامج الأكاديمي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Programme Aims</w:t>
            </w:r>
            <w:r w:rsidRPr="00415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  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  </w:t>
            </w:r>
          </w:p>
        </w:tc>
      </w:tr>
      <w:tr w:rsidR="00415E84" w:rsidRPr="00415E84" w:rsidTr="000B6D3E">
        <w:tc>
          <w:tcPr>
            <w:tcW w:w="10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تزويد الطالبات بالمعرفة  وتعلم المبادئ والطرق الحديثة في دراسة الرياضيات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 تعريف الطالبات بأهمية علم الرياضيات</w:t>
            </w:r>
          </w:p>
        </w:tc>
      </w:tr>
    </w:tbl>
    <w:p w:rsidR="00415E84" w:rsidRPr="00415E84" w:rsidRDefault="00415E84" w:rsidP="00415E84">
      <w:pPr>
        <w:shd w:val="clear" w:color="auto" w:fill="E9E9E9"/>
        <w:spacing w:after="0" w:line="420" w:lineRule="atLeast"/>
        <w:jc w:val="both"/>
        <w:rPr>
          <w:rFonts w:ascii="Tahoma" w:eastAsia="Times New Roman" w:hAnsi="Tahoma" w:cs="Tahoma"/>
          <w:vanish/>
          <w:color w:val="555555"/>
          <w:sz w:val="20"/>
          <w:szCs w:val="20"/>
          <w:rtl/>
        </w:rPr>
      </w:pPr>
    </w:p>
    <w:tbl>
      <w:tblPr>
        <w:tblpPr w:leftFromText="45" w:rightFromText="45" w:vertAnchor="text" w:horzAnchor="margin" w:tblpXSpec="center" w:tblpY="-313"/>
        <w:bidiVisual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 xml:space="preserve">14.    مخرجات التعلم المستهدفة   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Intended Learning Outcomes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تزويد الطلبة معرفة المعلومات وتنمية المهارات في مجال اختصاصهم  والقدرة على تدريس المادة التعليمية لاحقا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14-1 المعرفة والفهم   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and Understanding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قدرة الطلبة على التمييز والادراك المعرفي لتشخيص النظريات والمبادئ العامة في الدراسة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 التخطيط المستقبلي لربط ما تعلمه الطالب بالحياة اليومية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طرائق التعلم والتعليم المستخدمة في تطوير المعرفة والفهم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Learning and Teaching Methods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 القاء المحاضرات واستخدام الكتب المنهجية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 حل المسائل المتعلقة بالمادة العلمية واجراء التجارب المختبرية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3-    كتابة التقارير العلمية وتحليل البيانات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4-    استخدام التعليم الالكتروني في التدريس وفق الامكانيات المتاحة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طرائق تقييم المعرفة والفهم المكتسبة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Methods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 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اجرتء الامتحانات الشفهية والتحريرية اليومية والشهرية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 كتابة التقارير العلمية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14-2 مهارات التفكير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Skills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وصف وتحليل المشكلات وربطها مع التقنيات العلمية الحديثة في الدراسة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 مناقشة النظريات العلمية والتجارب المختبرية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3-    ايجاد الحلول باستخدام المعادلات الرياضية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طرائق التعلم والتعليم المستخدمة في تطوير مهارات التفكير 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Learning and Teaching Methods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استخدام وسائل الايضاح الالكترونية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 استخدام طريقة المناقشة في التدريس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طرائق تقييم مهارات التفكير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Methods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اجراء الامتحانات الشهرية واليومية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 طرح مشكلة وتكليف الطلبة بايجاد الحلول لها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14-3 المهارات المهنية و العملية 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Skills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               استخدام التعليم الالكتروني في تحليلي معلومات التجربة وكتابة التقارير العملية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                تكليف الطلبة في جلب النمتذج المختبرية المتعلقة بالدروس العملية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طرائق التعلم والتعليم المستخدمة في تطوير المهارات العملية 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Learning and Teaching Methods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اجراء اختبارات عملية لقياس مدى مستوى فهم الطلبة في الانجاز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طرائق تقييم المهارات العملية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Methods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اجراء اختبارات عملية لقياس مدى مستوى فهم الطلبة في الانجاز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14-4 المهارات العامة والمنقولة 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Transferable and Generic Skills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اجراء التجارب المختبرية المتعلقة  باداة الدرس لتنمية مهارات الطلبة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طرائق التعلم والتعليم المستخدمة في تطوير المهارات العامة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Learning and Teaching Methods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تكليف الطلبة بالقيام ببعض التجارب المختبرية او تصميم تجارب ضمن مادة الدرس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 xml:space="preserve">طرائق تقييم المهارات العامة والمنقولة  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Methods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    اجراء بعض الاختبارات العملية في التجارب المختبرية المتعلقة بالموضوع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</w:tbl>
    <w:p w:rsidR="00415E84" w:rsidRPr="00415E84" w:rsidRDefault="00415E84" w:rsidP="00415E84">
      <w:pPr>
        <w:shd w:val="clear" w:color="auto" w:fill="E9E9E9"/>
        <w:spacing w:before="120" w:after="120" w:line="420" w:lineRule="atLeast"/>
        <w:jc w:val="both"/>
        <w:rPr>
          <w:rFonts w:ascii="Tahoma" w:eastAsia="Times New Roman" w:hAnsi="Tahoma" w:cs="Tahoma"/>
          <w:color w:val="555555"/>
          <w:sz w:val="20"/>
          <w:szCs w:val="20"/>
          <w:rtl/>
        </w:rPr>
      </w:pPr>
      <w:r w:rsidRPr="00415E84">
        <w:rPr>
          <w:rFonts w:ascii="Tahoma" w:eastAsia="Times New Roman" w:hAnsi="Tahoma" w:cs="Tahoma"/>
          <w:color w:val="555555"/>
          <w:sz w:val="20"/>
          <w:szCs w:val="20"/>
          <w:rtl/>
        </w:rPr>
        <w:t> </w:t>
      </w:r>
    </w:p>
    <w:p w:rsidR="00415E84" w:rsidRPr="00415E84" w:rsidRDefault="00415E84" w:rsidP="00415E84">
      <w:pPr>
        <w:shd w:val="clear" w:color="auto" w:fill="E9E9E9"/>
        <w:spacing w:before="120" w:after="120" w:line="420" w:lineRule="atLeast"/>
        <w:jc w:val="both"/>
        <w:rPr>
          <w:rFonts w:ascii="Tahoma" w:eastAsia="Times New Roman" w:hAnsi="Tahoma" w:cs="Tahoma"/>
          <w:color w:val="555555"/>
          <w:sz w:val="20"/>
          <w:szCs w:val="20"/>
          <w:rtl/>
        </w:rPr>
      </w:pPr>
      <w:r w:rsidRPr="00415E84">
        <w:rPr>
          <w:rFonts w:ascii="Tahoma" w:eastAsia="Times New Roman" w:hAnsi="Tahoma" w:cs="Tahoma"/>
          <w:color w:val="555555"/>
          <w:sz w:val="20"/>
          <w:szCs w:val="20"/>
          <w:rtl/>
        </w:rPr>
        <w:t> </w:t>
      </w:r>
    </w:p>
    <w:tbl>
      <w:tblPr>
        <w:tblpPr w:leftFromText="45" w:rightFromText="45" w:vertAnchor="text" w:horzAnchor="margin" w:tblpXSpec="center" w:tblpY="-64"/>
        <w:bidiVisual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855"/>
        <w:gridCol w:w="990"/>
        <w:gridCol w:w="420"/>
        <w:gridCol w:w="1095"/>
        <w:gridCol w:w="180"/>
        <w:gridCol w:w="1575"/>
        <w:gridCol w:w="285"/>
        <w:gridCol w:w="2550"/>
      </w:tblGrid>
      <w:tr w:rsidR="00415E84" w:rsidRPr="00415E84" w:rsidTr="000B6D3E">
        <w:tc>
          <w:tcPr>
            <w:tcW w:w="97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15.      بنية البرنامج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Programme Structure</w:t>
            </w:r>
          </w:p>
        </w:tc>
      </w:tr>
      <w:tr w:rsidR="00415E84" w:rsidRPr="00415E84" w:rsidTr="000B6D3E">
        <w:tc>
          <w:tcPr>
            <w:tcW w:w="97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15-1 السنة الدراسية الاولى   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Year 1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       عدد الساعات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 نظري                     عملي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 الوحدات المعتمدة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تفاضل وتكامل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8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اسس رياضيات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جبر خطي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حاسبات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فيزياء عامة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اسس التربية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 النفس التربوي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لغة عربية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حقوق انسان والديمقراطية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</w:tr>
      <w:tr w:rsidR="00415E84" w:rsidRPr="00415E84" w:rsidTr="000B6D3E">
        <w:tc>
          <w:tcPr>
            <w:tcW w:w="69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 الوحدات الكلية                         17                 </w:t>
            </w:r>
            <w:r w:rsidR="000B6D3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39</w:t>
            </w:r>
          </w:p>
        </w:tc>
      </w:tr>
      <w:tr w:rsidR="00415E84" w:rsidRPr="00415E84" w:rsidTr="000B6D3E">
        <w:tc>
          <w:tcPr>
            <w:tcW w:w="97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15-2 السنة الدراسية الثانية   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Year 2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       عدد الساعات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 نظري              عملي     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 الوحدات المعتمدة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تفاضل وتكامل متقدم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8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معادلات تفاضلية اعتيادية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جبر مجرد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انظمة البديهيات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منهج البحث العلمي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حاسبات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 نفس النمو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الادارة والتعليم الثانوي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69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 عدد الوحدات الكلية                                 16               </w:t>
            </w:r>
            <w:r w:rsidR="000B6D3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38</w:t>
            </w:r>
          </w:p>
        </w:tc>
      </w:tr>
    </w:tbl>
    <w:p w:rsidR="00415E84" w:rsidRPr="00415E84" w:rsidRDefault="00415E84" w:rsidP="00415E84">
      <w:pPr>
        <w:shd w:val="clear" w:color="auto" w:fill="E9E9E9"/>
        <w:spacing w:before="120" w:after="120" w:line="420" w:lineRule="atLeast"/>
        <w:jc w:val="both"/>
        <w:rPr>
          <w:rFonts w:ascii="Tahoma" w:eastAsia="Times New Roman" w:hAnsi="Tahoma" w:cs="Tahoma"/>
          <w:color w:val="555555"/>
          <w:sz w:val="20"/>
          <w:szCs w:val="20"/>
          <w:rtl/>
        </w:rPr>
      </w:pPr>
      <w:r w:rsidRPr="00415E84">
        <w:rPr>
          <w:rFonts w:ascii="Tahoma" w:eastAsia="Times New Roman" w:hAnsi="Tahoma" w:cs="Tahoma"/>
          <w:color w:val="555555"/>
          <w:sz w:val="20"/>
          <w:szCs w:val="20"/>
          <w:rtl/>
        </w:rPr>
        <w:t> </w:t>
      </w:r>
    </w:p>
    <w:tbl>
      <w:tblPr>
        <w:tblpPr w:leftFromText="45" w:rightFromText="45" w:vertAnchor="text" w:horzAnchor="margin" w:tblpXSpec="center" w:tblpY="-9550"/>
        <w:bidiVisual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515"/>
        <w:gridCol w:w="1755"/>
        <w:gridCol w:w="285"/>
        <w:gridCol w:w="2550"/>
      </w:tblGrid>
      <w:tr w:rsidR="000B6D3E" w:rsidRPr="00415E84" w:rsidTr="000B6D3E">
        <w:tc>
          <w:tcPr>
            <w:tcW w:w="97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15-3 السنة الدراسية الثالثة   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Year 3</w:t>
            </w:r>
          </w:p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 اسم المقرر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         عدد الساعات</w:t>
            </w:r>
          </w:p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 نظري                     عملي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 الوحدات المعتمدة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تحليل رياضي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  6  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احصاء واحتمالية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جبر حلقات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معادلات تفاضلية جزئية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تحليل عددي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ارشاد وصحة نفسية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0B6D3E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المناهج وطرائق التدريس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0B6D3E" w:rsidRPr="00415E84" w:rsidTr="000B6D3E"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 الوحدات الكلية                                   13                 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D3E" w:rsidRPr="00415E84" w:rsidRDefault="000B6D3E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38</w:t>
            </w:r>
          </w:p>
        </w:tc>
      </w:tr>
    </w:tbl>
    <w:p w:rsidR="00415E84" w:rsidRPr="00415E84" w:rsidRDefault="00415E84" w:rsidP="00415E84">
      <w:pPr>
        <w:shd w:val="clear" w:color="auto" w:fill="E9E9E9"/>
        <w:spacing w:before="120" w:after="120" w:line="420" w:lineRule="atLeast"/>
        <w:jc w:val="both"/>
        <w:rPr>
          <w:rFonts w:ascii="Tahoma" w:eastAsia="Times New Roman" w:hAnsi="Tahoma" w:cs="Tahoma"/>
          <w:color w:val="555555"/>
          <w:sz w:val="20"/>
          <w:szCs w:val="20"/>
          <w:rtl/>
        </w:rPr>
      </w:pPr>
      <w:r w:rsidRPr="00415E84">
        <w:rPr>
          <w:rFonts w:ascii="Tahoma" w:eastAsia="Times New Roman" w:hAnsi="Tahoma" w:cs="Tahoma"/>
          <w:color w:val="555555"/>
          <w:sz w:val="20"/>
          <w:szCs w:val="20"/>
          <w:rtl/>
        </w:rPr>
        <w:t> </w:t>
      </w:r>
    </w:p>
    <w:tbl>
      <w:tblPr>
        <w:tblpPr w:leftFromText="45" w:rightFromText="45" w:vertAnchor="text" w:horzAnchor="margin" w:tblpXSpec="center" w:tblpY="41"/>
        <w:bidiVisual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515"/>
        <w:gridCol w:w="1755"/>
        <w:gridCol w:w="285"/>
        <w:gridCol w:w="2550"/>
      </w:tblGrid>
      <w:tr w:rsidR="00415E84" w:rsidRPr="00415E84" w:rsidTr="000B6D3E">
        <w:tc>
          <w:tcPr>
            <w:tcW w:w="97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15-4 السنة الدراسية الرابعة   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Year 4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 اسم المقرر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        عدد الساعات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  نظري                     عملي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 الوحدات المعتمدة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تبولوجي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تحليل عقدي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احصاء رياضي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تحليل دالي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بحوث عمليات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6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مشروع بحث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مشاهدة وتطبيق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القياس والتقويم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</w:t>
            </w:r>
          </w:p>
        </w:tc>
      </w:tr>
      <w:tr w:rsidR="00415E84" w:rsidRPr="00415E84" w:rsidTr="000B6D3E"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عدد الوحدات الكلية                                     12               16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40</w:t>
            </w:r>
          </w:p>
        </w:tc>
      </w:tr>
    </w:tbl>
    <w:p w:rsidR="00415E84" w:rsidRPr="00415E84" w:rsidRDefault="00415E84" w:rsidP="00415E84">
      <w:pPr>
        <w:shd w:val="clear" w:color="auto" w:fill="E9E9E9"/>
        <w:spacing w:before="120" w:after="120" w:line="420" w:lineRule="atLeast"/>
        <w:jc w:val="both"/>
        <w:rPr>
          <w:rFonts w:ascii="Tahoma" w:eastAsia="Times New Roman" w:hAnsi="Tahoma" w:cs="Tahoma"/>
          <w:color w:val="555555"/>
          <w:sz w:val="20"/>
          <w:szCs w:val="20"/>
          <w:rtl/>
        </w:rPr>
      </w:pPr>
      <w:r w:rsidRPr="00415E84">
        <w:rPr>
          <w:rFonts w:ascii="Tahoma" w:eastAsia="Times New Roman" w:hAnsi="Tahoma" w:cs="Tahoma"/>
          <w:color w:val="555555"/>
          <w:sz w:val="20"/>
          <w:szCs w:val="20"/>
          <w:rtl/>
        </w:rPr>
        <w:t> </w:t>
      </w:r>
    </w:p>
    <w:p w:rsidR="00415E84" w:rsidRPr="00415E84" w:rsidRDefault="00415E84" w:rsidP="00415E84">
      <w:pPr>
        <w:shd w:val="clear" w:color="auto" w:fill="E9E9E9"/>
        <w:spacing w:before="120" w:after="120" w:line="420" w:lineRule="atLeast"/>
        <w:jc w:val="both"/>
        <w:rPr>
          <w:rFonts w:ascii="Tahoma" w:eastAsia="Times New Roman" w:hAnsi="Tahoma" w:cs="Tahoma"/>
          <w:color w:val="555555"/>
          <w:sz w:val="20"/>
          <w:szCs w:val="20"/>
          <w:rtl/>
        </w:rPr>
      </w:pPr>
      <w:r w:rsidRPr="00415E84">
        <w:rPr>
          <w:rFonts w:ascii="Tahoma" w:eastAsia="Times New Roman" w:hAnsi="Tahoma" w:cs="Tahoma"/>
          <w:color w:val="555555"/>
          <w:sz w:val="20"/>
          <w:szCs w:val="20"/>
          <w:rtl/>
        </w:rPr>
        <w:t> </w:t>
      </w:r>
    </w:p>
    <w:p w:rsidR="00415E84" w:rsidRPr="00415E84" w:rsidRDefault="00415E84" w:rsidP="00415E84">
      <w:pPr>
        <w:shd w:val="clear" w:color="auto" w:fill="E9E9E9"/>
        <w:spacing w:after="0" w:line="420" w:lineRule="atLeast"/>
        <w:jc w:val="both"/>
        <w:rPr>
          <w:rFonts w:ascii="Tahoma" w:eastAsia="Times New Roman" w:hAnsi="Tahoma" w:cs="Tahoma"/>
          <w:vanish/>
          <w:color w:val="555555"/>
          <w:sz w:val="20"/>
          <w:szCs w:val="20"/>
          <w:rtl/>
        </w:rPr>
      </w:pPr>
    </w:p>
    <w:p w:rsidR="00415E84" w:rsidRPr="00415E84" w:rsidRDefault="00415E84" w:rsidP="00415E84">
      <w:pPr>
        <w:shd w:val="clear" w:color="auto" w:fill="E9E9E9"/>
        <w:spacing w:after="0" w:line="420" w:lineRule="atLeast"/>
        <w:jc w:val="both"/>
        <w:rPr>
          <w:rFonts w:ascii="Tahoma" w:eastAsia="Times New Roman" w:hAnsi="Tahoma" w:cs="Tahoma"/>
          <w:vanish/>
          <w:color w:val="555555"/>
          <w:sz w:val="20"/>
          <w:szCs w:val="20"/>
          <w:rtl/>
        </w:rPr>
      </w:pPr>
    </w:p>
    <w:tbl>
      <w:tblPr>
        <w:tblpPr w:leftFromText="45" w:rightFromText="45" w:vertAnchor="text" w:horzAnchor="margin" w:tblpXSpec="center" w:tblpY="-1453"/>
        <w:bidiVisual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75"/>
      </w:tblGrid>
      <w:tr w:rsidR="00415E84" w:rsidRPr="00415E84" w:rsidTr="000B6D3E"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19.    دعم مصادر التعلم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Support for Student Learning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The department support of student learning by:-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1. All students have a senior tutor who will provide support including pastoral and welfare.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2. The year directors and head of department are available to give help and advice.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3. Students work in pairs on the projects, which are supervised by a member of academic staff.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4. Most courses provide printed lectures notes, problems sheets and practical exercises and also can be obtained from the departmental office and website.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5. Members of staff are happy to give help and advice.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6. The department runs teaching laboratories and each laboratory has a coordinator who reports to senior academies.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7. A member of quality assurance in university will visit the student during the course to ensure satisfactory program.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8. There is library prevision and computer room within the department and at college level.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9. In the final year, students will have a local project supervisor, with whom they will meet regularly and he will be responsible for their activities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University Support for Student Learning: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1. library services.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2. computer workstations.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3. Careers Advisory Service.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4. Chaplaincy.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5. disability coordinator.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20.    طرائق تقييم وتحسين معايير طرائق التعلم والتعليم المستخدمة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Methods for Evaluating and Improving the standard of Learning and Teaching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The quality of the programme :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1- Students provide a feedback at the end of unit, which are used to review and improve the unit.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2- The department management board and academic staff with students, which meets regularly, and provides a forum where any aspect of the teaching can be discussed.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3- Student membership of the department and faculty management board.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4- The discussions  of the students with personal tutors and the Directors of Studies for each year.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Assuring and enhancing the quality of the programme: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1- The programme is periodically reviewed by external examiners.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2- Annual evaluation of each unit by the coordinator.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3- Periodic programme reviews by academic staff.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4- External check up by the Quality Assurance of college.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5- The department external advisory panel, which includes representatives from students and industry and advisers on this course.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6- All academic staff regularly undergo observation of their teaching by colleagues.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  <w:tr w:rsidR="00415E84" w:rsidRPr="00415E84" w:rsidTr="000B6D3E">
        <w:tc>
          <w:tcPr>
            <w:tcW w:w="9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21.طرائق تقييممهاراتأعضاءهيئةالتدريسفياستخداماستراتيجيات</w:t>
            </w: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rtl/>
              </w:rPr>
              <w:t> التعليم والتعلم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Methods for Evaluating the standard of Learning and Teaching of lecturer</w:t>
            </w:r>
          </w:p>
        </w:tc>
      </w:tr>
      <w:tr w:rsidR="00415E84" w:rsidRPr="00415E84" w:rsidTr="000B6D3E">
        <w:tc>
          <w:tcPr>
            <w:tcW w:w="9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0B6D3E">
            <w:pPr>
              <w:bidi w:val="0"/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1- Evaluation of academic staff  member by the head of department according to form No. 1.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2- Evaluation of academic staff  member by students according to form No. 2.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3- Self-evaluation of academic staff member in accordance with the form No. 3.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4- Evaluation of academic year units by students according to form No. 4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5- The evaluation process are supervised by a head of quality assurance at college.</w:t>
            </w:r>
          </w:p>
          <w:p w:rsidR="00415E84" w:rsidRPr="00415E84" w:rsidRDefault="00415E84" w:rsidP="000B6D3E">
            <w:pPr>
              <w:bidi w:val="0"/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1. تقييم عضو هيئة التدريس من قبل رئيس القسم وفق نموذج رقم 1.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2. تقييم عضو هيئة التدريس من قبل الطلاب وفق نموذج رقم 2.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3. التقييم الذاتي لعضو هيئة التدريس وفق نموذج رقم 3.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4. تقييم مرحلة دراسية من قبل الطلاب وفق نموذج رقم 4.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5. تتم عملية التقييم بالتنسيق مع شعبة الجودة في الكلية وباشراف قسم الجوده في الجامعة.</w:t>
            </w:r>
          </w:p>
          <w:p w:rsidR="00415E84" w:rsidRPr="00415E84" w:rsidRDefault="00415E84" w:rsidP="000B6D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</w:tbl>
    <w:tbl>
      <w:tblPr>
        <w:bidiVisual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415E84" w:rsidRPr="00415E84" w:rsidTr="00415E84"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 w:horzAnchor="page" w:tblpX="1021" w:tblpY="286"/>
              <w:tblOverlap w:val="never"/>
              <w:bidiVisual/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0B6D3E" w:rsidRPr="00415E84" w:rsidTr="000B6D3E">
              <w:tc>
                <w:tcPr>
                  <w:tcW w:w="9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lastRenderedPageBreak/>
                    <w:t>16. الانظمة واللوائح الخاصة بتقييم الطلبة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Regulation of Assessment</w:t>
                  </w:r>
                </w:p>
              </w:tc>
            </w:tr>
            <w:tr w:rsidR="000B6D3E" w:rsidRPr="00415E84" w:rsidTr="000B6D3E">
              <w:tc>
                <w:tcPr>
                  <w:tcW w:w="9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يكون التقييم النهائي او التقدير النهائي للطلبة بعد التخرج من خلال اتباع النسب التالية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10% للسنة الدراسية الاولى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20% للسنة الدراسية الثانية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30% للسنة الدراسية الثالثة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40% للسنة الدراسية الرابعة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 </w:t>
                  </w:r>
                </w:p>
              </w:tc>
            </w:tr>
            <w:tr w:rsidR="000B6D3E" w:rsidRPr="00415E84" w:rsidTr="000B6D3E">
              <w:tc>
                <w:tcPr>
                  <w:tcW w:w="9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D3E" w:rsidRPr="00415E84" w:rsidRDefault="000B6D3E" w:rsidP="000B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17.    معيار القبول (الأنظمة المتعلقة بالالتحاق بالكلية و القسم العلمي)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Criteria for Admission</w:t>
                  </w:r>
                </w:p>
              </w:tc>
            </w:tr>
            <w:tr w:rsidR="000B6D3E" w:rsidRPr="00415E84" w:rsidTr="000B6D3E">
              <w:tc>
                <w:tcPr>
                  <w:tcW w:w="9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أولاشروطالقبولفيالكلية : -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1-اعتمادشروطالقبولللطلاب وفق لوائح وزارة التعليم العالي والبحث العلمي (القبول المركزي)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2- أنتجتازبنجاحأياختبار خاصأومقابلةشخصيةيراهامجلس الكلية اوالجامعة.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3-أنيكونلائقطبيا للتخصص المتقدم اليه.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ثانياشروطالقبولفيالقسمالعلمي : -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1-اختيار  رغبة الطالب من أكثرمنرغبةمرتب حسبالأفضلية.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2-معدلالقبول في الثانوية العامة.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3- معدلمقررالقسمالذييرغبفيهالطالب بالدراسة.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4- الطاقةالاستيعابية للقسم العلمي.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 </w:t>
                  </w:r>
                </w:p>
              </w:tc>
            </w:tr>
            <w:tr w:rsidR="000B6D3E" w:rsidRPr="00415E84" w:rsidTr="000B6D3E">
              <w:tc>
                <w:tcPr>
                  <w:tcW w:w="9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D3E" w:rsidRPr="00415E84" w:rsidRDefault="000B6D3E" w:rsidP="000B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18.    أهم مصادر المعلومات عن البرنامج</w:t>
                  </w:r>
                </w:p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Key Sources of Information about the Programme</w:t>
                  </w:r>
                </w:p>
              </w:tc>
            </w:tr>
            <w:tr w:rsidR="000B6D3E" w:rsidRPr="00415E84" w:rsidTr="000B6D3E">
              <w:tc>
                <w:tcPr>
                  <w:tcW w:w="9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6D3E" w:rsidRPr="00415E84" w:rsidRDefault="000B6D3E" w:rsidP="000B6D3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 </w:t>
                  </w:r>
                </w:p>
              </w:tc>
            </w:tr>
          </w:tbl>
          <w:p w:rsidR="00415E84" w:rsidRPr="00415E84" w:rsidRDefault="00415E84" w:rsidP="0041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22.طرائق تقييم جودةالبرنامجومراجعته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Methods for Evaluating and review the Programme Structure</w:t>
            </w:r>
          </w:p>
        </w:tc>
      </w:tr>
      <w:tr w:rsidR="00415E84" w:rsidRPr="00415E84" w:rsidTr="00415E84"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1. تشكيل لجان في القسم العلمي مهمتها متابعة البرنامج وإجراء المراجعة الشاملة  وما يطرأ عليه من مستجدات.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2. استبيان اراء الطلبة عند نهاية كل فصل دراسي حول البرنامج الدراسي.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3. استبيان اراء أعضاء هيئة تدريس عند نهاية كل فصل دراسي حول أفضل الطرق لتطوير المقررات الدراسية وطرق تدريسها.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4. التنسيق مع شعبة الجودة في الجامعة لمتابعة تطبيق البرنامج الاكاديمي  في القسم.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5. إجراء مراجعة شاملة للبرنامج بشكل دوري كل اربع سنوات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</w:tbl>
    <w:tbl>
      <w:tblPr>
        <w:tblpPr w:leftFromText="45" w:rightFromText="45" w:vertAnchor="text" w:tblpXSpec="right" w:tblpYSpec="center"/>
        <w:bidiVisual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415E84" w:rsidRPr="00415E84" w:rsidTr="00415E84"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41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23.      اختيار أعضاءهيئةالتدريس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Selection of academic staff members</w:t>
            </w:r>
          </w:p>
        </w:tc>
      </w:tr>
      <w:tr w:rsidR="00415E84" w:rsidRPr="00415E84" w:rsidTr="00415E84"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اختيار اعضاء هيئة التدريس وتعينهم  وفقا لشروط وزارة التعليم العالي بالإضافة الى: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1-  اختيار عضو هيئة التدريس من ذوي الاختصاص والتميز والخبرة والكفاءة العلمية العالية.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2-  اختيار عضو هيئة التدريس من خريجي الجامعات المعترف بها والمتميزة أكاديميا.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3- اختيار عضو هيئة التدريس وفقا لمعايير الجودة من حيث الدرجة العلمية و نشر البحوث في مجلات عالمية ذات معامل تأثير والمؤلفات وإجادة اللغة الانجليزية والمشاركة في المؤتمرات وورش العمل 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4- إجراء المقابلات الشخصية لتقييم كفاءة عضو هيئة التدريس المتقدم لشغل الوظيفة 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5- تقييم أداء عضو هيئة التدريس خلال السنة الأولى من ممارسته لمهامه الأكاديمية والبحثية وذلك قبل تثبيته.</w:t>
            </w:r>
          </w:p>
        </w:tc>
      </w:tr>
    </w:tbl>
    <w:tbl>
      <w:tblPr>
        <w:bidiVisual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415E84" w:rsidRPr="00415E84" w:rsidTr="00415E84"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41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24.متطلبات إدارة البرنامج الأكاديمي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</w:rPr>
              <w:t>Academic program management requirements</w:t>
            </w:r>
          </w:p>
        </w:tc>
      </w:tr>
      <w:tr w:rsidR="00415E84" w:rsidRPr="00415E84" w:rsidTr="00415E84"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‌1. وجود نشرة تعريفية للقسم تحتوي على أهداف القسم ورؤيته ورسالته ومدى الالتزام بها.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‌2. وجود رئيس قسم ذي خبرة أكاديمية وإدارية مناسبة قي مجال التخصص لإدارة البرنامج الاكاديمي والقسم والارتقاء به.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‌3. وجود مجلس قسم ولجان مساندة تجتمع بانتظام وتوثق أعمالها وتتابع قراراتها.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‌4. مشاركة الطلبة في عملية صنع القرار، والحصول على التغذية الراجعة منهم.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‌5. توفر كادر إداري كافٍ ومناسب لضمان حسن سير العمل في القسم.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‌6. توفر الكوادر الفنية المؤهلة لخدمة البرنامج الأكاديمي.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‌7. تنمية وتطوير المهارات والقدرات الفنية والمهنية للكوادر المساندة في مجال التخصص لمواكبة التطورات الحديثة.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‌8. توفر أرشيف متكامل للقسم.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‌9. وجود برنامج تعريفي وتوجيهي للطلبة الجدد.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‌10. وجود دعم أكاديمي للطلاب خارج نطاق المحاضرات.</w:t>
            </w:r>
          </w:p>
          <w:p w:rsidR="00415E84" w:rsidRPr="00415E84" w:rsidRDefault="00415E84" w:rsidP="00415E8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E8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‌11. وجود استقلال أكاديمي وإداري لتحقيق أهداف القسم.</w:t>
            </w:r>
            <w:r w:rsidRPr="00415E84">
              <w:rPr>
                <w:rFonts w:ascii="Tahoma" w:eastAsia="Times New Roman" w:hAnsi="Tahoma" w:cs="Tahoma"/>
                <w:color w:val="333333"/>
                <w:sz w:val="18"/>
                <w:szCs w:val="18"/>
                <w:bdr w:val="none" w:sz="0" w:space="0" w:color="auto" w:frame="1"/>
                <w:rtl/>
              </w:rPr>
              <w:t> </w:t>
            </w:r>
          </w:p>
        </w:tc>
      </w:tr>
    </w:tbl>
    <w:p w:rsidR="0045595A" w:rsidRPr="00415E84" w:rsidRDefault="0045595A">
      <w:pPr>
        <w:rPr>
          <w:lang w:bidi="ar-IQ"/>
        </w:rPr>
      </w:pPr>
    </w:p>
    <w:sectPr w:rsidR="0045595A" w:rsidRPr="00415E84" w:rsidSect="00264D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5F8"/>
    <w:multiLevelType w:val="multilevel"/>
    <w:tmpl w:val="7C56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14"/>
    <w:rsid w:val="000B6D3E"/>
    <w:rsid w:val="00264D1F"/>
    <w:rsid w:val="00415E84"/>
    <w:rsid w:val="0045595A"/>
    <w:rsid w:val="00A72914"/>
    <w:rsid w:val="00E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8F447-9F41-4A64-86E2-09745FB6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E84"/>
    <w:rPr>
      <w:b/>
      <w:bCs/>
    </w:rPr>
  </w:style>
  <w:style w:type="character" w:customStyle="1" w:styleId="apple-converted-space">
    <w:name w:val="apple-converted-space"/>
    <w:basedOn w:val="DefaultParagraphFont"/>
    <w:rsid w:val="00415E84"/>
  </w:style>
  <w:style w:type="character" w:styleId="Emphasis">
    <w:name w:val="Emphasis"/>
    <w:basedOn w:val="DefaultParagraphFont"/>
    <w:uiPriority w:val="20"/>
    <w:qFormat/>
    <w:rsid w:val="00415E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LENOVO</cp:lastModifiedBy>
  <cp:revision>2</cp:revision>
  <cp:lastPrinted>2017-01-30T08:20:00Z</cp:lastPrinted>
  <dcterms:created xsi:type="dcterms:W3CDTF">2017-01-30T08:21:00Z</dcterms:created>
  <dcterms:modified xsi:type="dcterms:W3CDTF">2017-01-30T08:21:00Z</dcterms:modified>
</cp:coreProperties>
</file>